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3.png" ContentType="image/png"/>
  <Override PartName="/word/media/image9.wmf" ContentType="image/x-wmf"/>
  <Override PartName="/word/media/image8.png" ContentType="image/png"/>
  <Override PartName="/word/media/image7.jpeg" ContentType="image/jpeg"/>
  <Override PartName="/word/media/image12.wmf" ContentType="image/x-wmf"/>
  <Override PartName="/word/media/image6.jpeg" ContentType="image/jpeg"/>
  <Override PartName="/word/media/image5.jpeg" ContentType="image/jpeg"/>
  <Override PartName="/word/media/image10.jpeg" ContentType="image/jpeg"/>
  <Override PartName="/word/media/image4.jpeg" ContentType="image/jpeg"/>
  <Override PartName="/word/media/image3.jpeg" ContentType="image/jpeg"/>
  <Override PartName="/word/media/image2.jpeg" ContentType="image/jpeg"/>
  <Override PartName="/word/media/image11.png" ContentType="image/pn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A000-Indo-Sumatra-Batak People-Shaman Mask-Water Buffalo Bone-1890’s</w:t>
      </w:r>
    </w:p>
    <w:p>
      <w:pPr>
        <w:pStyle w:val="Normal"/>
        <w:rPr/>
      </w:pPr>
      <w:r>
        <w:rPr/>
      </w:r>
    </w:p>
    <w:p>
      <w:pPr>
        <w:pStyle w:val="Normal"/>
        <w:rPr/>
      </w:pPr>
      <w:r>
        <w:rPr/>
        <w:drawing>
          <wp:inline distT="0" distB="0" distL="0" distR="0">
            <wp:extent cx="2249805" cy="3003550"/>
            <wp:effectExtent l="0" t="0" r="0" b="0"/>
            <wp:docPr id="1" name="viEnlargeImgLayer_img_ctr"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nlargeImgLayer_img_ctr" descr="" title=""/>
                    <pic:cNvPicPr>
                      <a:picLocks noChangeAspect="1" noChangeArrowheads="1"/>
                    </pic:cNvPicPr>
                  </pic:nvPicPr>
                  <pic:blipFill>
                    <a:blip r:embed="rId2"/>
                    <a:srcRect l="-4" t="-3" r="-4" b="-3"/>
                    <a:stretch>
                      <a:fillRect/>
                    </a:stretch>
                  </pic:blipFill>
                  <pic:spPr bwMode="auto">
                    <a:xfrm flipH="1">
                      <a:off x="0" y="0"/>
                      <a:ext cx="2249805" cy="3003550"/>
                    </a:xfrm>
                    <a:prstGeom prst="rect">
                      <a:avLst/>
                    </a:prstGeom>
                  </pic:spPr>
                </pic:pic>
              </a:graphicData>
            </a:graphic>
          </wp:inline>
        </w:drawing>
      </w:r>
      <w:r>
        <w:rPr/>
        <w:drawing>
          <wp:inline distT="0" distB="0" distL="0" distR="0">
            <wp:extent cx="2205990" cy="2952115"/>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4" t="-3" r="-4" b="-3"/>
                    <a:stretch>
                      <a:fillRect/>
                    </a:stretch>
                  </pic:blipFill>
                  <pic:spPr bwMode="auto">
                    <a:xfrm>
                      <a:off x="0" y="0"/>
                      <a:ext cx="2205990" cy="2952115"/>
                    </a:xfrm>
                    <a:prstGeom prst="rect">
                      <a:avLst/>
                    </a:prstGeom>
                  </pic:spPr>
                </pic:pic>
              </a:graphicData>
            </a:graphic>
          </wp:inline>
        </w:drawing>
      </w:r>
      <w:r>
        <w:rPr/>
        <w:drawing>
          <wp:inline distT="0" distB="0" distL="0" distR="0">
            <wp:extent cx="2019935" cy="294513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5" t="-3" r="-5" b="-3"/>
                    <a:stretch>
                      <a:fillRect/>
                    </a:stretch>
                  </pic:blipFill>
                  <pic:spPr bwMode="auto">
                    <a:xfrm>
                      <a:off x="0" y="0"/>
                      <a:ext cx="2019935" cy="2945130"/>
                    </a:xfrm>
                    <a:prstGeom prst="rect">
                      <a:avLst/>
                    </a:prstGeom>
                  </pic:spPr>
                </pic:pic>
              </a:graphicData>
            </a:graphic>
          </wp:inline>
        </w:drawing>
      </w:r>
    </w:p>
    <w:p>
      <w:pPr>
        <w:pStyle w:val="Normal"/>
        <w:rPr/>
      </w:pPr>
      <w:r>
        <w:rPr/>
        <w:drawing>
          <wp:inline distT="0" distB="0" distL="0" distR="0">
            <wp:extent cx="2978785" cy="336105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5" t="-4" r="-5" b="-4"/>
                    <a:stretch>
                      <a:fillRect/>
                    </a:stretch>
                  </pic:blipFill>
                  <pic:spPr bwMode="auto">
                    <a:xfrm>
                      <a:off x="0" y="0"/>
                      <a:ext cx="2978785" cy="3361055"/>
                    </a:xfrm>
                    <a:prstGeom prst="rect">
                      <a:avLst/>
                    </a:prstGeom>
                  </pic:spPr>
                </pic:pic>
              </a:graphicData>
            </a:graphic>
          </wp:inline>
        </w:drawing>
      </w:r>
      <w:r>
        <w:rPr/>
        <w:drawing>
          <wp:inline distT="0" distB="0" distL="0" distR="0">
            <wp:extent cx="3376930" cy="3372485"/>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6" t="-6" r="-6" b="-6"/>
                    <a:stretch>
                      <a:fillRect/>
                    </a:stretch>
                  </pic:blipFill>
                  <pic:spPr bwMode="auto">
                    <a:xfrm>
                      <a:off x="0" y="0"/>
                      <a:ext cx="3376930" cy="3372485"/>
                    </a:xfrm>
                    <a:prstGeom prst="rect">
                      <a:avLst/>
                    </a:prstGeom>
                  </pic:spPr>
                </pic:pic>
              </a:graphicData>
            </a:graphic>
          </wp:inline>
        </w:drawing>
      </w:r>
    </w:p>
    <w:p>
      <w:pPr>
        <w:pStyle w:val="Normal"/>
        <w:rPr/>
      </w:pPr>
      <w:r>
        <w:rPr/>
      </w:r>
    </w:p>
    <w:p>
      <w:pPr>
        <w:pStyle w:val="Normal"/>
        <w:rPr/>
      </w:pPr>
      <w:r>
        <w:rPr/>
        <w:drawing>
          <wp:inline distT="0" distB="0" distL="0" distR="0">
            <wp:extent cx="2931795" cy="4944745"/>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7"/>
                    <a:srcRect l="-8" t="-4" r="-8" b="-4"/>
                    <a:stretch>
                      <a:fillRect/>
                    </a:stretch>
                  </pic:blipFill>
                  <pic:spPr bwMode="auto">
                    <a:xfrm>
                      <a:off x="0" y="0"/>
                      <a:ext cx="2931795" cy="4944745"/>
                    </a:xfrm>
                    <a:prstGeom prst="rect">
                      <a:avLst/>
                    </a:prstGeom>
                  </pic:spPr>
                </pic:pic>
              </a:graphicData>
            </a:graphic>
          </wp:inline>
        </w:drawing>
      </w:r>
      <w:r>
        <w:rPr/>
        <w:drawing>
          <wp:inline distT="0" distB="0" distL="0" distR="0">
            <wp:extent cx="3152140" cy="4934585"/>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8"/>
                    <a:srcRect l="-7" t="-4" r="-7" b="-4"/>
                    <a:stretch>
                      <a:fillRect/>
                    </a:stretch>
                  </pic:blipFill>
                  <pic:spPr bwMode="auto">
                    <a:xfrm>
                      <a:off x="0" y="0"/>
                      <a:ext cx="3152140" cy="4934585"/>
                    </a:xfrm>
                    <a:prstGeom prst="rect">
                      <a:avLst/>
                    </a:prstGeom>
                  </pic:spPr>
                </pic:pic>
              </a:graphicData>
            </a:graphic>
          </wp:inline>
        </w:drawing>
      </w:r>
    </w:p>
    <w:p>
      <w:pPr>
        <w:pStyle w:val="Normal"/>
        <w:rPr/>
      </w:pPr>
      <w:r>
        <w:rPr/>
        <w:t>Figs. 1-7. Indo-Sumatra-Batak People-Shaman Mask-Water Buffalo Bone-1890’s</w:t>
      </w:r>
      <w:r>
        <w:rPr>
          <w:rStyle w:val="StrongEmphasis"/>
        </w:rPr>
        <w:t xml:space="preserve"> </w:t>
      </w:r>
    </w:p>
    <w:p>
      <w:pPr>
        <w:pStyle w:val="Normal"/>
        <w:rPr/>
      </w:pPr>
      <w:r>
        <w:rPr>
          <w:rStyle w:val="StrongEmphasis"/>
        </w:rPr>
        <w:t>Case No.: Oceania</w:t>
      </w:r>
    </w:p>
    <w:p>
      <w:pPr>
        <w:pStyle w:val="Normal"/>
        <w:rPr/>
      </w:pPr>
      <w:r>
        <w:rPr>
          <w:b/>
        </w:rPr>
        <w:t>Accession No.</w:t>
      </w:r>
    </w:p>
    <w:p>
      <w:pPr>
        <w:pStyle w:val="Normal"/>
        <w:rPr>
          <w:b/>
          <w:b/>
        </w:rPr>
      </w:pPr>
      <w:r>
        <w:rPr>
          <w:b/>
        </w:rPr>
        <w:t xml:space="preserve">Formal Label: </w:t>
      </w:r>
      <w:r>
        <w:rPr/>
        <w:t>Indo-Sumatra-Batak People-Shaman Mask-Water Buffalo Bone-1890’s</w:t>
      </w:r>
    </w:p>
    <w:p>
      <w:pPr>
        <w:pStyle w:val="Normal"/>
        <w:rPr>
          <w:b/>
          <w:b/>
        </w:rPr>
      </w:pPr>
      <w:r>
        <w:rPr>
          <w:b/>
        </w:rPr>
        <w:t>Display Description:</w:t>
      </w:r>
    </w:p>
    <w:p>
      <w:pPr>
        <w:pStyle w:val="Normal"/>
        <w:rPr>
          <w:b/>
          <w:b/>
        </w:rPr>
      </w:pPr>
      <w:r>
        <w:rPr>
          <w:rFonts w:cs="Tahoma"/>
          <w:color w:val="494949"/>
          <w:szCs w:val="9"/>
        </w:rPr>
        <w:t xml:space="preserve">The shape of the water buffalo bone was used to create this rare soul mask, incised and stenciled with an intricate, batik style tattoo that is traditional for the Batak culture of Indonesia. </w:t>
      </w:r>
    </w:p>
    <w:p>
      <w:pPr>
        <w:pStyle w:val="Normal"/>
        <w:rPr/>
      </w:pPr>
      <w:r>
        <w:rPr/>
        <w:t>This mask was intricately carved and affixed to the head of a shaman who would enunciate answers as an oracle to inquiring individuals.</w:t>
      </w:r>
    </w:p>
    <w:p>
      <w:pPr>
        <w:pStyle w:val="Normal"/>
        <w:rPr>
          <w:b/>
          <w:b/>
          <w:bCs/>
        </w:rPr>
      </w:pPr>
      <w:r>
        <w:rPr>
          <w:b/>
        </w:rPr>
        <w:t xml:space="preserve">LC Classification: </w:t>
      </w:r>
      <w:r>
        <w:rPr>
          <w:rFonts w:cs="ProximaNova-Regular;Times New Roman" w:ascii="ProximaNova-Regular;Times New Roman" w:hAnsi="ProximaNova-Regular;Times New Roman"/>
          <w:b/>
          <w:bCs/>
          <w:color w:val="333333"/>
          <w:sz w:val="25"/>
          <w:szCs w:val="25"/>
          <w:shd w:fill="D0D2B4" w:val="clear"/>
        </w:rPr>
        <w:t>DS646.32</w:t>
      </w:r>
    </w:p>
    <w:p>
      <w:pPr>
        <w:pStyle w:val="Normal"/>
        <w:rPr>
          <w:b/>
          <w:b/>
        </w:rPr>
      </w:pPr>
      <w:r>
        <w:rPr>
          <w:b/>
        </w:rPr>
        <w:t>Date or Time Horizon: 1890’s</w:t>
      </w:r>
    </w:p>
    <w:p>
      <w:pPr>
        <w:pStyle w:val="Normal"/>
        <w:rPr>
          <w:b/>
          <w:b/>
        </w:rPr>
      </w:pPr>
      <w:r>
        <w:rPr>
          <w:b/>
        </w:rPr>
        <w:t>Map:</w:t>
      </w:r>
    </w:p>
    <w:p>
      <w:pPr>
        <w:pStyle w:val="Normal"/>
        <w:rPr>
          <w:rFonts w:ascii="Arial" w:hAnsi="Arial" w:cs="Arial"/>
          <w:color w:val="222222"/>
          <w:sz w:val="20"/>
          <w:szCs w:val="20"/>
          <w:highlight w:val="white"/>
        </w:rPr>
      </w:pPr>
      <w:r>
        <w:rPr>
          <w:lang w:val="en-US" w:eastAsia="en-US"/>
        </w:rPr>
        <w:drawing>
          <wp:inline distT="0" distB="0" distL="0" distR="0">
            <wp:extent cx="6096635" cy="6248400"/>
            <wp:effectExtent l="0" t="0" r="0" b="0"/>
            <wp:docPr id="8"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title=""/>
                    <pic:cNvPicPr>
                      <a:picLocks noChangeAspect="1" noChangeArrowheads="1"/>
                    </pic:cNvPicPr>
                  </pic:nvPicPr>
                  <pic:blipFill>
                    <a:blip r:embed="rId9"/>
                    <a:srcRect l="-9" t="-8" r="-9" b="-8"/>
                    <a:stretch>
                      <a:fillRect/>
                    </a:stretch>
                  </pic:blipFill>
                  <pic:spPr bwMode="auto">
                    <a:xfrm>
                      <a:off x="0" y="0"/>
                      <a:ext cx="6096635" cy="6248400"/>
                    </a:xfrm>
                    <a:prstGeom prst="rect">
                      <a:avLst/>
                    </a:prstGeom>
                  </pic:spPr>
                </pic:pic>
              </a:graphicData>
            </a:graphic>
          </wp:inline>
        </w:drawing>
      </w:r>
    </w:p>
    <w:p>
      <w:pPr>
        <w:pStyle w:val="Normal"/>
        <w:rPr>
          <w:b/>
          <w:b/>
        </w:rPr>
      </w:pPr>
      <w:r>
        <w:rPr>
          <w:b/>
        </w:rPr>
        <w:t>GPS coordinates:</w:t>
      </w:r>
    </w:p>
    <w:p>
      <w:pPr>
        <w:pStyle w:val="Normal"/>
        <w:rPr>
          <w:b/>
          <w:b/>
        </w:rPr>
      </w:pPr>
      <w:r>
        <w:rPr>
          <w:b/>
        </w:rPr>
        <w:t xml:space="preserve">Cultural Affiliation: </w:t>
      </w:r>
    </w:p>
    <w:p>
      <w:pPr>
        <w:pStyle w:val="Normal"/>
        <w:rPr>
          <w:b/>
          <w:b/>
        </w:rPr>
      </w:pPr>
      <w:r>
        <w:rPr>
          <w:b/>
        </w:rPr>
        <w:t>Media: bone, pigment</w:t>
      </w:r>
    </w:p>
    <w:p>
      <w:pPr>
        <w:pStyle w:val="Normal"/>
        <w:rPr>
          <w:b/>
          <w:b/>
        </w:rPr>
      </w:pPr>
      <w:r>
        <w:rPr>
          <w:b/>
        </w:rPr>
        <w:t xml:space="preserve">Dimensions: </w:t>
      </w:r>
    </w:p>
    <w:p>
      <w:pPr>
        <w:pStyle w:val="Normal"/>
        <w:rPr>
          <w:b/>
          <w:b/>
        </w:rPr>
      </w:pPr>
      <w:r>
        <w:rPr>
          <w:b/>
        </w:rPr>
        <w:t xml:space="preserve">Weight:  </w:t>
      </w:r>
    </w:p>
    <w:p>
      <w:pPr>
        <w:pStyle w:val="Normal"/>
        <w:rPr>
          <w:b/>
          <w:b/>
        </w:rPr>
      </w:pPr>
      <w:r>
        <w:rPr>
          <w:b/>
        </w:rPr>
        <w:t>Condition: original</w:t>
      </w:r>
    </w:p>
    <w:p>
      <w:pPr>
        <w:pStyle w:val="Normal"/>
        <w:rPr>
          <w:b/>
          <w:b/>
        </w:rPr>
      </w:pPr>
      <w:r>
        <w:rPr>
          <w:b/>
        </w:rPr>
        <w:t xml:space="preserve">Provenance: </w:t>
      </w:r>
      <w:r>
        <w:rPr/>
        <w:t>French ethnological collection</w:t>
      </w:r>
    </w:p>
    <w:p>
      <w:pPr>
        <w:pStyle w:val="Normal"/>
        <w:rPr>
          <w:b/>
          <w:b/>
        </w:rPr>
      </w:pPr>
      <w:r>
        <w:rPr>
          <w:b/>
        </w:rPr>
        <w:t>References:</w:t>
      </w:r>
    </w:p>
    <w:p>
      <w:pPr>
        <w:pStyle w:val="Heading1"/>
        <w:shd w:fill="FFFFFF" w:val="clear"/>
        <w:spacing w:before="255" w:after="0"/>
        <w:rPr/>
      </w:pPr>
      <w:r>
        <w:rPr>
          <w:rFonts w:cs="Times New Roman" w:ascii="Times New Roman" w:hAnsi="Times New Roman"/>
          <w:b w:val="false"/>
          <w:color w:val="222222"/>
          <w:sz w:val="24"/>
          <w:szCs w:val="24"/>
          <w:shd w:fill="FFFFFF" w:val="clear"/>
        </w:rPr>
        <w:t>Harrisson, T., 1959. Innermost Borneo: Ten Years' Exploration and Research. </w:t>
      </w:r>
      <w:r>
        <w:rPr>
          <w:rFonts w:cs="Times New Roman" w:ascii="Times New Roman" w:hAnsi="Times New Roman"/>
          <w:b w:val="false"/>
          <w:i/>
          <w:iCs/>
          <w:color w:val="222222"/>
          <w:sz w:val="24"/>
          <w:szCs w:val="24"/>
          <w:shd w:fill="FFFFFF" w:val="clear"/>
        </w:rPr>
        <w:t>The Geographical Journal</w:t>
      </w:r>
      <w:r>
        <w:rPr>
          <w:rFonts w:cs="Times New Roman" w:ascii="Times New Roman" w:hAnsi="Times New Roman"/>
          <w:b w:val="false"/>
          <w:color w:val="222222"/>
          <w:sz w:val="24"/>
          <w:szCs w:val="24"/>
          <w:shd w:fill="FFFFFF" w:val="clear"/>
        </w:rPr>
        <w:t>, </w:t>
      </w:r>
      <w:r>
        <w:rPr>
          <w:rFonts w:cs="Times New Roman" w:ascii="Times New Roman" w:hAnsi="Times New Roman"/>
          <w:b w:val="false"/>
          <w:i/>
          <w:iCs/>
          <w:color w:val="222222"/>
          <w:sz w:val="24"/>
          <w:szCs w:val="24"/>
          <w:shd w:fill="FFFFFF" w:val="clear"/>
        </w:rPr>
        <w:t>125</w:t>
      </w:r>
      <w:r>
        <w:rPr>
          <w:rFonts w:cs="Times New Roman" w:ascii="Times New Roman" w:hAnsi="Times New Roman"/>
          <w:b w:val="false"/>
          <w:color w:val="222222"/>
          <w:sz w:val="24"/>
          <w:szCs w:val="24"/>
          <w:shd w:fill="FFFFFF" w:val="clear"/>
        </w:rPr>
        <w:t>(3/4), pp.299-311.</w:t>
      </w:r>
    </w:p>
    <w:p>
      <w:pPr>
        <w:pStyle w:val="Heading1"/>
        <w:shd w:fill="FFFFFF" w:val="clear"/>
        <w:spacing w:before="255" w:after="0"/>
        <w:rPr/>
      </w:pPr>
      <w:r>
        <w:rPr>
          <w:rFonts w:cs="Times New Roman" w:ascii="Times New Roman" w:hAnsi="Times New Roman"/>
          <w:b w:val="false"/>
          <w:color w:val="222222"/>
          <w:sz w:val="24"/>
          <w:szCs w:val="24"/>
          <w:shd w:fill="FFFFFF" w:val="clear"/>
        </w:rPr>
        <w:t>Harrisson, T., 1964. Inside Borneo: The Dickson Asia Lecture. </w:t>
      </w:r>
      <w:r>
        <w:rPr>
          <w:rFonts w:cs="Times New Roman" w:ascii="Times New Roman" w:hAnsi="Times New Roman"/>
          <w:b w:val="false"/>
          <w:i/>
          <w:iCs/>
          <w:color w:val="222222"/>
          <w:sz w:val="24"/>
          <w:szCs w:val="24"/>
          <w:shd w:fill="FFFFFF" w:val="clear"/>
        </w:rPr>
        <w:t>The Geographical Journal</w:t>
      </w:r>
      <w:r>
        <w:rPr>
          <w:rFonts w:cs="Times New Roman" w:ascii="Times New Roman" w:hAnsi="Times New Roman"/>
          <w:b w:val="false"/>
          <w:color w:val="222222"/>
          <w:sz w:val="24"/>
          <w:szCs w:val="24"/>
          <w:shd w:fill="FFFFFF" w:val="clear"/>
        </w:rPr>
        <w:t>, </w:t>
      </w:r>
      <w:r>
        <w:rPr>
          <w:rFonts w:cs="Times New Roman" w:ascii="Times New Roman" w:hAnsi="Times New Roman"/>
          <w:b w:val="false"/>
          <w:i/>
          <w:iCs/>
          <w:color w:val="222222"/>
          <w:sz w:val="24"/>
          <w:szCs w:val="24"/>
          <w:shd w:fill="FFFFFF" w:val="clear"/>
        </w:rPr>
        <w:t>130</w:t>
      </w:r>
      <w:r>
        <w:rPr>
          <w:rFonts w:cs="Times New Roman" w:ascii="Times New Roman" w:hAnsi="Times New Roman"/>
          <w:b w:val="false"/>
          <w:color w:val="222222"/>
          <w:sz w:val="24"/>
          <w:szCs w:val="24"/>
          <w:shd w:fill="FFFFFF" w:val="clear"/>
        </w:rPr>
        <w:t>(3), pp.329-336.</w:t>
      </w:r>
    </w:p>
    <w:p>
      <w:pPr>
        <w:pStyle w:val="Heading1"/>
        <w:shd w:fill="FFFFFF" w:val="clear"/>
        <w:spacing w:before="255" w:after="0"/>
        <w:rPr>
          <w:rFonts w:ascii="Times New Roman" w:hAnsi="Times New Roman" w:cs="Times New Roman"/>
          <w:b w:val="false"/>
          <w:b w:val="false"/>
          <w:color w:val="222222"/>
          <w:sz w:val="24"/>
          <w:szCs w:val="24"/>
          <w:highlight w:val="white"/>
        </w:rPr>
      </w:pPr>
      <w:r>
        <w:rPr>
          <w:rFonts w:cs="Times New Roman" w:ascii="Times New Roman" w:hAnsi="Times New Roman"/>
          <w:b w:val="false"/>
          <w:color w:val="222222"/>
          <w:sz w:val="24"/>
          <w:szCs w:val="24"/>
          <w:shd w:fill="FFFFFF" w:val="clear"/>
        </w:rPr>
        <w:t>KNAPEN, H., 2003. Innermost Borneo; Studies in Dayak cultures.</w:t>
      </w:r>
    </w:p>
    <w:p>
      <w:pPr>
        <w:pStyle w:val="Heading1"/>
        <w:shd w:fill="FFFFFF" w:val="clear"/>
        <w:spacing w:before="255" w:after="0"/>
        <w:rPr/>
      </w:pPr>
      <w:r>
        <w:rPr>
          <w:rFonts w:cs="Times New Roman" w:ascii="Times New Roman" w:hAnsi="Times New Roman"/>
          <w:b w:val="false"/>
          <w:color w:val="222222"/>
          <w:sz w:val="24"/>
          <w:szCs w:val="24"/>
          <w:shd w:fill="FFFFFF" w:val="clear"/>
        </w:rPr>
        <w:t>Sather, C., 2003. Innermost Borneo: Studies in Dayak Cultures. </w:t>
      </w:r>
      <w:r>
        <w:rPr>
          <w:rFonts w:cs="Times New Roman" w:ascii="Times New Roman" w:hAnsi="Times New Roman"/>
          <w:b w:val="false"/>
          <w:i/>
          <w:iCs/>
          <w:color w:val="222222"/>
          <w:sz w:val="24"/>
          <w:szCs w:val="24"/>
          <w:shd w:fill="FFFFFF" w:val="clear"/>
        </w:rPr>
        <w:t>Asian Ethnology</w:t>
      </w:r>
      <w:r>
        <w:rPr>
          <w:rFonts w:cs="Times New Roman" w:ascii="Times New Roman" w:hAnsi="Times New Roman"/>
          <w:b w:val="false"/>
          <w:color w:val="222222"/>
          <w:sz w:val="24"/>
          <w:szCs w:val="24"/>
          <w:shd w:fill="FFFFFF" w:val="clear"/>
        </w:rPr>
        <w:t>, </w:t>
      </w:r>
      <w:r>
        <w:rPr>
          <w:rFonts w:cs="Times New Roman" w:ascii="Times New Roman" w:hAnsi="Times New Roman"/>
          <w:b w:val="false"/>
          <w:i/>
          <w:iCs/>
          <w:color w:val="222222"/>
          <w:sz w:val="24"/>
          <w:szCs w:val="24"/>
          <w:shd w:fill="FFFFFF" w:val="clear"/>
        </w:rPr>
        <w:t>62</w:t>
      </w:r>
      <w:r>
        <w:rPr>
          <w:rFonts w:cs="Times New Roman" w:ascii="Times New Roman" w:hAnsi="Times New Roman"/>
          <w:b w:val="false"/>
          <w:color w:val="222222"/>
          <w:sz w:val="24"/>
          <w:szCs w:val="24"/>
          <w:shd w:fill="FFFFFF" w:val="clear"/>
        </w:rPr>
        <w:t>(2), p.349.</w:t>
      </w:r>
    </w:p>
    <w:p>
      <w:pPr>
        <w:pStyle w:val="Heading1"/>
        <w:shd w:fill="FFFFFF" w:val="clear"/>
        <w:spacing w:before="255" w:after="0"/>
        <w:rPr/>
      </w:pPr>
      <w:r>
        <w:rPr>
          <w:rFonts w:cs="Times New Roman" w:ascii="Times New Roman" w:hAnsi="Times New Roman"/>
          <w:b w:val="false"/>
          <w:color w:val="222222"/>
          <w:sz w:val="24"/>
          <w:szCs w:val="24"/>
          <w:shd w:fill="FFFFFF" w:val="clear"/>
        </w:rPr>
        <w:t>Sellato, B., 2002. How Tribes Come into Being: The Ethnogenesis of the Aoheng. </w:t>
      </w:r>
      <w:r>
        <w:rPr>
          <w:rFonts w:cs="Times New Roman" w:ascii="Times New Roman" w:hAnsi="Times New Roman"/>
          <w:b w:val="false"/>
          <w:i/>
          <w:iCs/>
          <w:color w:val="222222"/>
          <w:sz w:val="24"/>
          <w:szCs w:val="24"/>
          <w:shd w:fill="FFFFFF" w:val="clear"/>
        </w:rPr>
        <w:t>Innermost Borneo: Studies in Dayak Culture</w:t>
      </w:r>
      <w:r>
        <w:rPr>
          <w:rFonts w:cs="Times New Roman" w:ascii="Times New Roman" w:hAnsi="Times New Roman"/>
          <w:b w:val="false"/>
          <w:color w:val="222222"/>
          <w:sz w:val="24"/>
          <w:szCs w:val="24"/>
          <w:shd w:fill="FFFFFF" w:val="clear"/>
        </w:rPr>
        <w:t>, pp.163-194.</w:t>
      </w:r>
    </w:p>
    <w:p>
      <w:pPr>
        <w:pStyle w:val="Heading1"/>
        <w:shd w:fill="FFFFFF" w:val="clear"/>
        <w:spacing w:before="255" w:after="0"/>
        <w:rPr>
          <w:rFonts w:ascii="Times New Roman" w:hAnsi="Times New Roman" w:cs="Times New Roman"/>
          <w:color w:val="222222"/>
          <w:sz w:val="24"/>
          <w:szCs w:val="24"/>
          <w:highlight w:val="white"/>
        </w:rPr>
      </w:pPr>
      <w:r>
        <w:rPr>
          <w:rFonts w:cs="Times New Roman" w:ascii="Times New Roman" w:hAnsi="Times New Roman"/>
          <w:color w:val="222222"/>
          <w:sz w:val="24"/>
          <w:szCs w:val="24"/>
          <w:highlight w:val="white"/>
        </w:rPr>
        <w:t xml:space="preserve">Appendix: </w:t>
      </w:r>
    </w:p>
    <w:p>
      <w:pPr>
        <w:pStyle w:val="Normal"/>
        <w:rPr/>
      </w:pPr>
      <w:r>
        <w:rPr/>
        <w:t>Below are different representations of Headhunting warriors and Headhunting festivals after the return.</w:t>
      </w:r>
    </w:p>
    <w:p>
      <w:pPr>
        <w:pStyle w:val="Normal"/>
        <w:rPr/>
      </w:pPr>
      <w:r>
        <w:rPr/>
        <w:object>
          <v:shape id="ole_rId10" style="width:510.95pt;height:341.2pt" o:ole="">
            <v:imagedata r:id="rId11" o:title=""/>
          </v:shape>
          <o:OLEObject Type="Embed" ProgID="" ShapeID="ole_rId10" DrawAspect="Content" ObjectID="_926901719" r:id="rId10"/>
        </w:object>
      </w:r>
    </w:p>
    <w:p>
      <w:pPr>
        <w:pStyle w:val="Normal"/>
        <w:rPr>
          <w:b/>
          <w:b/>
        </w:rPr>
      </w:pPr>
      <w:r>
        <w:rPr>
          <w:b/>
        </w:rPr>
        <w:t>Dayak Headhunters in Borneo, 1823</w:t>
      </w:r>
    </w:p>
    <w:p>
      <w:pPr>
        <w:pStyle w:val="Normal"/>
        <w:rPr/>
      </w:pPr>
      <w:r>
        <w:rPr/>
        <w:drawing>
          <wp:inline distT="0" distB="0" distL="0" distR="0">
            <wp:extent cx="6744970" cy="3807460"/>
            <wp:effectExtent l="0" t="0" r="0" b="0"/>
            <wp:docPr id="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title=""/>
                    <pic:cNvPicPr>
                      <a:picLocks noChangeAspect="1" noChangeArrowheads="1"/>
                    </pic:cNvPicPr>
                  </pic:nvPicPr>
                  <pic:blipFill>
                    <a:blip r:embed="rId12"/>
                    <a:srcRect l="-15" t="-28" r="-15" b="-28"/>
                    <a:stretch>
                      <a:fillRect/>
                    </a:stretch>
                  </pic:blipFill>
                  <pic:spPr bwMode="auto">
                    <a:xfrm>
                      <a:off x="0" y="0"/>
                      <a:ext cx="6744970" cy="3807460"/>
                    </a:xfrm>
                    <a:prstGeom prst="rect">
                      <a:avLst/>
                    </a:prstGeom>
                  </pic:spPr>
                </pic:pic>
              </a:graphicData>
            </a:graphic>
          </wp:inline>
        </w:drawing>
      </w:r>
    </w:p>
    <w:p>
      <w:pPr>
        <w:pStyle w:val="Normal"/>
        <w:rPr>
          <w:color w:val="222222"/>
          <w:highlight w:val="white"/>
        </w:rPr>
      </w:pPr>
      <w:r>
        <w:rPr/>
        <w:t xml:space="preserve">Dayak festival After </w:t>
      </w:r>
      <w:r>
        <w:rPr>
          <w:color w:val="222222"/>
          <w:shd w:fill="F8F9FA" w:val="clear"/>
        </w:rPr>
        <w:t>C.A.L.M. Schwaner, 1846. Borneo. Ein Bilianfest der Dayak von Sungi Pattaym. Amsterdam, van Kampen.</w:t>
      </w:r>
    </w:p>
    <w:p>
      <w:pPr>
        <w:pStyle w:val="Normal"/>
        <w:rPr>
          <w:lang w:val="en-US" w:eastAsia="en-US"/>
        </w:rPr>
      </w:pPr>
      <w:r>
        <w:rPr>
          <w:lang w:val="en-US" w:eastAsia="en-US"/>
        </w:rPr>
        <w:drawing>
          <wp:inline distT="0" distB="0" distL="0" distR="0">
            <wp:extent cx="6497955" cy="3545840"/>
            <wp:effectExtent l="0" t="0" r="0" b="0"/>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13"/>
                    <a:srcRect l="-3" t="-5" r="-3" b="-5"/>
                    <a:stretch>
                      <a:fillRect/>
                    </a:stretch>
                  </pic:blipFill>
                  <pic:spPr bwMode="auto">
                    <a:xfrm>
                      <a:off x="0" y="0"/>
                      <a:ext cx="6497955" cy="3545840"/>
                    </a:xfrm>
                    <a:prstGeom prst="rect">
                      <a:avLst/>
                    </a:prstGeom>
                  </pic:spPr>
                </pic:pic>
              </a:graphicData>
            </a:graphic>
          </wp:inline>
        </w:drawing>
      </w:r>
    </w:p>
    <w:p>
      <w:pPr>
        <w:pStyle w:val="Normal"/>
        <w:rPr>
          <w:color w:val="222222"/>
          <w:highlight w:val="white"/>
        </w:rPr>
      </w:pPr>
      <w:r>
        <w:rPr>
          <w:lang w:val="en-US" w:eastAsia="en-US"/>
        </w:rPr>
        <w:t>Groet uit Borneo, Ot Danoem. Head hunters in Borneo (Kalimantan), staged scene, from a postcard 1906</w:t>
      </w:r>
    </w:p>
    <w:p>
      <w:pPr>
        <w:pStyle w:val="Normal"/>
        <w:rPr>
          <w:lang w:val="en-US" w:eastAsia="en-US"/>
        </w:rPr>
      </w:pPr>
      <w:r>
        <w:rPr/>
        <w:object>
          <v:shape id="ole_rId14" style="width:323.35pt;height:277.2pt" o:ole="">
            <v:imagedata r:id="rId15" o:title=""/>
          </v:shape>
          <o:OLEObject Type="Embed" ProgID="" ShapeID="ole_rId14" DrawAspect="Content" ObjectID="_1867599890" r:id="rId14"/>
        </w:object>
      </w:r>
    </w:p>
    <w:p>
      <w:pPr>
        <w:pStyle w:val="Normal"/>
        <w:rPr/>
      </w:pPr>
      <w:r>
        <w:rPr>
          <w:lang w:val="en-US" w:eastAsia="en-US"/>
        </w:rPr>
        <w:t>Head hunters in Borneo (Kalimantan), from a postcard 1920’s</w:t>
      </w:r>
    </w:p>
    <w:p>
      <w:pPr>
        <w:pStyle w:val="Normal"/>
        <w:rPr>
          <w:lang w:val="en-US" w:eastAsia="en-US"/>
        </w:rPr>
      </w:pPr>
      <w:r>
        <w:rPr>
          <w:lang w:val="en-US" w:eastAsia="en-US"/>
        </w:rPr>
        <w:drawing>
          <wp:inline distT="0" distB="0" distL="0" distR="0">
            <wp:extent cx="6496685" cy="4471035"/>
            <wp:effectExtent l="0" t="0" r="0" b="0"/>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16"/>
                    <a:srcRect l="-4" t="-6" r="-4" b="-6"/>
                    <a:stretch>
                      <a:fillRect/>
                    </a:stretch>
                  </pic:blipFill>
                  <pic:spPr bwMode="auto">
                    <a:xfrm>
                      <a:off x="0" y="0"/>
                      <a:ext cx="6496685" cy="4471035"/>
                    </a:xfrm>
                    <a:prstGeom prst="rect">
                      <a:avLst/>
                    </a:prstGeom>
                  </pic:spPr>
                </pic:pic>
              </a:graphicData>
            </a:graphic>
          </wp:inline>
        </w:drawing>
      </w:r>
    </w:p>
    <w:p>
      <w:pPr>
        <w:pStyle w:val="Normal"/>
        <w:rPr>
          <w:b/>
          <w:b/>
        </w:rPr>
      </w:pPr>
      <w:r>
        <w:rPr>
          <w:lang w:val="en-US" w:eastAsia="en-US"/>
        </w:rPr>
        <w:t>Headhunter s</w:t>
      </w:r>
      <w:r>
        <w:rPr/>
        <w:t xml:space="preserve"> </w:t>
      </w:r>
      <w:r>
        <w:rPr>
          <w:lang w:val="en-US" w:eastAsia="en-US"/>
        </w:rPr>
        <w:t>Gallery inside the house with skulls and Padaung Dayak weapons, which become wall hangings, 1900-1930.</w:t>
      </w:r>
    </w:p>
    <w:p>
      <w:pPr>
        <w:pStyle w:val="Normal"/>
        <w:rPr>
          <w:b/>
          <w:b/>
        </w:rPr>
      </w:pPr>
      <w:r>
        <w:rPr>
          <w:b/>
        </w:rPr>
        <w:t>References:</w:t>
      </w:r>
    </w:p>
    <w:p>
      <w:pPr>
        <w:pStyle w:val="Normal"/>
        <w:rPr>
          <w:b/>
          <w:b/>
        </w:rPr>
      </w:pPr>
      <w:r>
        <w:rPr>
          <w:color w:val="222222"/>
          <w:shd w:fill="F8F9FA" w:val="clear"/>
        </w:rPr>
        <w:t xml:space="preserve">Schwaner, C.A.L.M. 1846. Borneo. </w:t>
      </w:r>
      <w:r>
        <w:rPr>
          <w:i/>
          <w:color w:val="222222"/>
          <w:shd w:fill="F8F9FA" w:val="clear"/>
        </w:rPr>
        <w:t>Ein Bilianfest der Dayak von Sungi Pattaym.</w:t>
      </w:r>
      <w:r>
        <w:rPr>
          <w:color w:val="222222"/>
          <w:shd w:fill="F8F9FA" w:val="clear"/>
        </w:rPr>
        <w:t xml:space="preserve"> Amsterdam, van Kampen.</w:t>
      </w:r>
    </w:p>
    <w:p>
      <w:pPr>
        <w:pStyle w:val="Normal"/>
        <w:rPr>
          <w:b/>
          <w:b/>
        </w:rPr>
      </w:pPr>
      <w:r>
        <w:rPr>
          <w:b/>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Liberation Sans">
    <w:altName w:val="Arial"/>
    <w:charset w:val="01" w:characterSet="utf-8"/>
    <w:family w:val="swiss"/>
    <w:pitch w:val="variable"/>
  </w:font>
  <w:font w:name="ProximaNova-Regular">
    <w:altName w:val="Times New Roman"/>
    <w:charset w:val="00" w:characterSet="windows-1252"/>
    <w:family w:val="roma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9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spacing w:before="240" w:after="60"/>
      <w:outlineLvl w:val="0"/>
    </w:pPr>
    <w:rPr>
      <w:rFonts w:ascii="Calibri Light" w:hAnsi="Calibri Light" w:eastAsia="Times New Roman" w:cs="Times New Roman"/>
      <w:b/>
      <w:bCs/>
      <w:kern w:val="2"/>
      <w:sz w:val="32"/>
      <w:szCs w:val="32"/>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TextBody"/>
    <w:qFormat/>
    <w:pPr>
      <w:numPr>
        <w:ilvl w:val="2"/>
        <w:numId w:val="1"/>
      </w:numPr>
      <w:spacing w:before="280" w:after="280"/>
      <w:outlineLvl w:val="2"/>
    </w:pPr>
    <w:rPr>
      <w:b/>
      <w:bCs/>
      <w:sz w:val="27"/>
      <w:szCs w:val="27"/>
    </w:rPr>
  </w:style>
  <w:style w:type="paragraph" w:styleId="Heading4">
    <w:name w:val="Heading 4"/>
    <w:basedOn w:val="Normal"/>
    <w:next w:val="TextBody"/>
    <w:qFormat/>
    <w:pPr>
      <w:numPr>
        <w:ilvl w:val="3"/>
        <w:numId w:val="1"/>
      </w:numPr>
      <w:spacing w:before="280" w:after="280"/>
      <w:outlineLvl w:val="3"/>
    </w:pPr>
    <w:rPr>
      <w:b/>
      <w:bCs/>
    </w:rPr>
  </w:style>
  <w:style w:type="character" w:styleId="DefaultParagraphFont">
    <w:name w:val="Default Paragraph Font"/>
    <w:qFormat/>
    <w:rPr/>
  </w:style>
  <w:style w:type="character" w:styleId="Ngscope">
    <w:name w:val="ng-scope"/>
    <w:basedOn w:val="DefaultParagraphFont"/>
    <w:qFormat/>
    <w:rPr/>
  </w:style>
  <w:style w:type="character" w:styleId="Fastnfreetextngbinding">
    <w:name w:val="fastnfreetext ng-binding"/>
    <w:basedOn w:val="DefaultParagraphFont"/>
    <w:qFormat/>
    <w:rPr/>
  </w:style>
  <w:style w:type="character" w:styleId="Ngbindingngscope">
    <w:name w:val="ng-binding ng-scope"/>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Ngbinding">
    <w:name w:val="ng-binding"/>
    <w:basedOn w:val="DefaultParagraphFont"/>
    <w:qFormat/>
    <w:rPr/>
  </w:style>
  <w:style w:type="character" w:styleId="Greenngbindingngscope">
    <w:name w:val="green ng-binding ng-scope"/>
    <w:basedOn w:val="DefaultParagraphFont"/>
    <w:qFormat/>
    <w:rPr/>
  </w:style>
  <w:style w:type="character" w:styleId="Ordertotalcostngbinding">
    <w:name w:val="ordertotalcost ng-binding"/>
    <w:basedOn w:val="DefaultParagraphFont"/>
    <w:qFormat/>
    <w:rPr/>
  </w:style>
  <w:style w:type="character" w:styleId="Exlavailabilitycallnumber">
    <w:name w:val="exlavailabilitycallnumber"/>
    <w:qFormat/>
    <w:rPr/>
  </w:style>
  <w:style w:type="character" w:styleId="Heading1Char">
    <w:name w:val="Heading 1 Char"/>
    <w:qFormat/>
    <w:rPr>
      <w:rFonts w:ascii="Calibri Light" w:hAnsi="Calibri Light" w:eastAsia="Times New Roman" w:cs="Times New Roman"/>
      <w:b/>
      <w:bCs/>
      <w:kern w:val="2"/>
      <w:sz w:val="32"/>
      <w:szCs w:val="32"/>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gbinding1">
    <w:name w:val="ng-binding1"/>
    <w:basedOn w:val="Normal"/>
    <w:qFormat/>
    <w:pPr>
      <w:spacing w:before="280" w:after="28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oleObject" Target="embeddings/oleObject1.bin"/><Relationship Id="rId11" Type="http://schemas.openxmlformats.org/officeDocument/2006/relationships/image" Target="media/image9.wmf"/><Relationship Id="rId12" Type="http://schemas.openxmlformats.org/officeDocument/2006/relationships/image" Target="media/image10.jpeg"/><Relationship Id="rId13" Type="http://schemas.openxmlformats.org/officeDocument/2006/relationships/image" Target="media/image11.png"/><Relationship Id="rId14" Type="http://schemas.openxmlformats.org/officeDocument/2006/relationships/oleObject" Target="embeddings/oleObject2.bin"/><Relationship Id="rId15" Type="http://schemas.openxmlformats.org/officeDocument/2006/relationships/image" Target="media/image12.wmf"/><Relationship Id="rId16" Type="http://schemas.openxmlformats.org/officeDocument/2006/relationships/image" Target="media/image13.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2018-08-04T17:16:00Z</dcterms:created>
  <dc:creator>owner</dc:creator>
  <dc:description/>
  <cp:keywords/>
  <dc:language>en-US</dc:language>
  <cp:lastModifiedBy>Ralph Coffman</cp:lastModifiedBy>
  <dcterms:modified xsi:type="dcterms:W3CDTF">2018-08-04T17:16:00Z</dcterms:modified>
  <cp:revision>2</cp:revision>
  <dc:subject/>
  <dc:title>DIS-INDO-Borneo-Dayak-Shaman Mask</dc:title>
</cp:coreProperties>
</file>